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E3631" w14:textId="77777777" w:rsidR="00D057A4" w:rsidRPr="00482002" w:rsidRDefault="00D057A4" w:rsidP="00D057A4">
      <w:pPr>
        <w:jc w:val="right"/>
        <w:rPr>
          <w:sz w:val="24"/>
          <w:szCs w:val="24"/>
        </w:rPr>
      </w:pPr>
      <w:r w:rsidRPr="00482002">
        <w:rPr>
          <w:noProof/>
          <w:sz w:val="24"/>
          <w:szCs w:val="24"/>
          <w:lang w:eastAsia="nb-NO"/>
        </w:rPr>
        <w:drawing>
          <wp:inline distT="0" distB="0" distL="0" distR="0" wp14:anchorId="66AC0032" wp14:editId="6F906171">
            <wp:extent cx="1444625" cy="1550670"/>
            <wp:effectExtent l="0" t="0" r="3175" b="0"/>
            <wp:docPr id="1" name="Bilde 1"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625" cy="1550670"/>
                    </a:xfrm>
                    <a:prstGeom prst="rect">
                      <a:avLst/>
                    </a:prstGeom>
                    <a:noFill/>
                    <a:ln>
                      <a:noFill/>
                    </a:ln>
                  </pic:spPr>
                </pic:pic>
              </a:graphicData>
            </a:graphic>
          </wp:inline>
        </w:drawing>
      </w:r>
    </w:p>
    <w:p w14:paraId="1511BF3C" w14:textId="77777777" w:rsidR="00D057A4" w:rsidRDefault="00270C4D" w:rsidP="00D057A4">
      <w:pPr>
        <w:jc w:val="right"/>
      </w:pPr>
      <w:r>
        <w:t>Oslo 23</w:t>
      </w:r>
      <w:r w:rsidR="00D057A4">
        <w:t>. mars 2018</w:t>
      </w:r>
    </w:p>
    <w:p w14:paraId="64E21492" w14:textId="77777777" w:rsidR="00C8207B" w:rsidRDefault="00C8207B" w:rsidP="00C0409F">
      <w:pPr>
        <w:pStyle w:val="Ingenmellomrom"/>
        <w:rPr>
          <w:sz w:val="24"/>
          <w:szCs w:val="24"/>
        </w:rPr>
      </w:pPr>
    </w:p>
    <w:p w14:paraId="503C1295" w14:textId="77777777" w:rsidR="00C0409F" w:rsidRPr="00482002" w:rsidRDefault="00C0409F" w:rsidP="00C0409F">
      <w:pPr>
        <w:pStyle w:val="Ingenmellomrom"/>
        <w:rPr>
          <w:sz w:val="24"/>
          <w:szCs w:val="24"/>
        </w:rPr>
      </w:pPr>
      <w:r w:rsidRPr="00482002">
        <w:rPr>
          <w:sz w:val="24"/>
          <w:szCs w:val="24"/>
        </w:rPr>
        <w:t>Til medlemmene av Stortingets familie- og kulturkomite</w:t>
      </w:r>
    </w:p>
    <w:p w14:paraId="2BA1CD66" w14:textId="77777777" w:rsidR="00C0409F" w:rsidRPr="00482002" w:rsidRDefault="00482002" w:rsidP="00C0409F">
      <w:pPr>
        <w:pStyle w:val="Ingenmellomrom"/>
        <w:rPr>
          <w:sz w:val="24"/>
          <w:szCs w:val="24"/>
        </w:rPr>
      </w:pPr>
      <w:r w:rsidRPr="00482002">
        <w:rPr>
          <w:sz w:val="24"/>
          <w:szCs w:val="24"/>
        </w:rPr>
        <w:t xml:space="preserve">og Barne- </w:t>
      </w:r>
      <w:r w:rsidR="00C0409F" w:rsidRPr="00482002">
        <w:rPr>
          <w:sz w:val="24"/>
          <w:szCs w:val="24"/>
        </w:rPr>
        <w:t>og likestillingsdepartementet</w:t>
      </w:r>
    </w:p>
    <w:p w14:paraId="795191C6" w14:textId="77777777" w:rsidR="00C0409F" w:rsidRDefault="00C0409F" w:rsidP="00C0409F">
      <w:pPr>
        <w:pStyle w:val="Ingenmellomrom"/>
      </w:pPr>
    </w:p>
    <w:p w14:paraId="49526352" w14:textId="77777777" w:rsidR="00C0409F" w:rsidRDefault="00C0409F" w:rsidP="00C0409F">
      <w:pPr>
        <w:pStyle w:val="Ingenmellomrom"/>
      </w:pPr>
    </w:p>
    <w:p w14:paraId="78B92D82" w14:textId="77777777" w:rsidR="00C0409F" w:rsidRDefault="00C0409F" w:rsidP="00C0409F">
      <w:pPr>
        <w:pStyle w:val="Ingenmellomrom"/>
        <w:rPr>
          <w:b/>
          <w:sz w:val="28"/>
          <w:szCs w:val="28"/>
        </w:rPr>
      </w:pPr>
      <w:r w:rsidRPr="00C0409F">
        <w:rPr>
          <w:b/>
          <w:sz w:val="28"/>
          <w:szCs w:val="28"/>
        </w:rPr>
        <w:t>Tiltak for å hindre seksuell trakassering – Norges folkerettslige forpliktelser</w:t>
      </w:r>
    </w:p>
    <w:p w14:paraId="7313C391" w14:textId="77777777" w:rsidR="00C0409F" w:rsidRDefault="00C0409F" w:rsidP="00C0409F">
      <w:pPr>
        <w:pStyle w:val="Ingenmellomrom"/>
        <w:rPr>
          <w:b/>
          <w:sz w:val="28"/>
          <w:szCs w:val="28"/>
        </w:rPr>
      </w:pPr>
    </w:p>
    <w:p w14:paraId="58428EE1" w14:textId="77777777" w:rsidR="00C0409F" w:rsidRPr="00482002" w:rsidRDefault="00C0409F" w:rsidP="00C0409F">
      <w:pPr>
        <w:pStyle w:val="Ingenmellomrom"/>
        <w:rPr>
          <w:sz w:val="24"/>
          <w:szCs w:val="24"/>
        </w:rPr>
      </w:pPr>
      <w:r w:rsidRPr="00482002">
        <w:rPr>
          <w:sz w:val="24"/>
          <w:szCs w:val="24"/>
        </w:rPr>
        <w:t>I brev 9. mars 2018 foreslo Norges Kvinnelobby konkrete tiltak som ville kunne få umiddelbar virkning. Under overskriften Fjern unntaket i diskrimineringsnemndsloven foreslo vi opphevelse av § 7 første ledd bokstav a</w:t>
      </w:r>
      <w:r w:rsidR="00D057A4" w:rsidRPr="00482002">
        <w:rPr>
          <w:sz w:val="24"/>
          <w:szCs w:val="24"/>
        </w:rPr>
        <w:t>)</w:t>
      </w:r>
      <w:r w:rsidRPr="00482002">
        <w:rPr>
          <w:sz w:val="24"/>
          <w:szCs w:val="24"/>
        </w:rPr>
        <w:t xml:space="preserve"> i diskrimineringsnemndsloven. En grunn for dette forslaget er at gjeldende rettstilstand er i strid med EUs likestillingsdirektiv og Kvinnediskriminerings</w:t>
      </w:r>
      <w:r w:rsidR="00D057A4" w:rsidRPr="00482002">
        <w:rPr>
          <w:sz w:val="24"/>
          <w:szCs w:val="24"/>
        </w:rPr>
        <w:t>-</w:t>
      </w:r>
      <w:r w:rsidRPr="00482002">
        <w:rPr>
          <w:sz w:val="24"/>
          <w:szCs w:val="24"/>
        </w:rPr>
        <w:t xml:space="preserve">konvensjonen. Fordi vi trodde at komiteen var like ved å skulle avgi sin innstilling i saken, gikk vi i brevet ikke nærmere inn på hvorfor </w:t>
      </w:r>
      <w:r w:rsidR="00C6594B" w:rsidRPr="00482002">
        <w:rPr>
          <w:sz w:val="24"/>
          <w:szCs w:val="24"/>
        </w:rPr>
        <w:t>Norge i dag opptrer i strid med sine internasjonale forpliktelser så lenge Norge ikke har åpnet for en likeverdig håndheving av forbudet mot seksuell trakassering. Da vi nå er kjent med at avgivelsen av innstillingen er utsatt til 5. april 2018, ønsker vi å gå noe nærmere inn på grunnene til at Norge bryter sin forpliktelse både etter EUs likestillingsdirektiv og FNs kvinnediskrimineringskonvensjon.</w:t>
      </w:r>
    </w:p>
    <w:p w14:paraId="0C703BA9" w14:textId="77777777" w:rsidR="00C6594B" w:rsidRPr="00482002" w:rsidRDefault="00C6594B" w:rsidP="00C0409F">
      <w:pPr>
        <w:pStyle w:val="Ingenmellomrom"/>
        <w:rPr>
          <w:sz w:val="24"/>
          <w:szCs w:val="24"/>
        </w:rPr>
      </w:pPr>
    </w:p>
    <w:p w14:paraId="48AD87C7" w14:textId="77777777" w:rsidR="00C6594B" w:rsidRPr="00482002" w:rsidRDefault="00C6594B" w:rsidP="00C0409F">
      <w:pPr>
        <w:pStyle w:val="Ingenmellomrom"/>
        <w:rPr>
          <w:i/>
          <w:sz w:val="24"/>
          <w:szCs w:val="24"/>
        </w:rPr>
      </w:pPr>
      <w:r w:rsidRPr="00482002">
        <w:rPr>
          <w:i/>
          <w:sz w:val="24"/>
          <w:szCs w:val="24"/>
        </w:rPr>
        <w:t>Likestillings- og diskrimineringslovgivningen</w:t>
      </w:r>
    </w:p>
    <w:p w14:paraId="443EBEC6" w14:textId="77777777" w:rsidR="00C6594B" w:rsidRPr="00482002" w:rsidRDefault="00C6594B" w:rsidP="00C0409F">
      <w:pPr>
        <w:pStyle w:val="Ingenmellomrom"/>
        <w:rPr>
          <w:sz w:val="24"/>
          <w:szCs w:val="24"/>
        </w:rPr>
      </w:pPr>
    </w:p>
    <w:p w14:paraId="362997D5" w14:textId="77777777" w:rsidR="00C6594B" w:rsidRPr="00482002" w:rsidRDefault="00C6594B" w:rsidP="00C0409F">
      <w:pPr>
        <w:pStyle w:val="Ingenmellomrom"/>
        <w:rPr>
          <w:sz w:val="24"/>
          <w:szCs w:val="24"/>
        </w:rPr>
      </w:pPr>
      <w:r w:rsidRPr="00482002">
        <w:rPr>
          <w:sz w:val="24"/>
          <w:szCs w:val="24"/>
        </w:rPr>
        <w:t xml:space="preserve">I lov 16. juni 2017 nr. 51 om likestilling og forbud mot diskriminering er det i kapittel </w:t>
      </w:r>
      <w:r w:rsidR="00D057A4" w:rsidRPr="00482002">
        <w:rPr>
          <w:sz w:val="24"/>
          <w:szCs w:val="24"/>
        </w:rPr>
        <w:t xml:space="preserve">2 om forbud mot å diskriminere, </w:t>
      </w:r>
      <w:r w:rsidR="00ED0049" w:rsidRPr="00482002">
        <w:rPr>
          <w:sz w:val="24"/>
          <w:szCs w:val="24"/>
        </w:rPr>
        <w:t>i § 13 tatt inn forbud mot seksuell trakassering. Begrepet seksuell trakassering er nærmere definert i paragrafens tredje ledd. Seksuell trakassering er således diskriminering som er omfattet av loven. Lovens bestemmelse om bevisbyrde</w:t>
      </w:r>
      <w:r w:rsidR="00D057A4" w:rsidRPr="00482002">
        <w:rPr>
          <w:sz w:val="24"/>
          <w:szCs w:val="24"/>
        </w:rPr>
        <w:t>,</w:t>
      </w:r>
      <w:r w:rsidR="00ED0049" w:rsidRPr="00482002">
        <w:rPr>
          <w:sz w:val="24"/>
          <w:szCs w:val="24"/>
        </w:rPr>
        <w:t xml:space="preserve"> § 37</w:t>
      </w:r>
      <w:r w:rsidR="00D057A4" w:rsidRPr="00482002">
        <w:rPr>
          <w:sz w:val="24"/>
          <w:szCs w:val="24"/>
        </w:rPr>
        <w:t>,</w:t>
      </w:r>
      <w:r w:rsidR="00ED0049" w:rsidRPr="00482002">
        <w:rPr>
          <w:sz w:val="24"/>
          <w:szCs w:val="24"/>
        </w:rPr>
        <w:t xml:space="preserve"> gjelder for seksuell trakassering, og § 38 om oppreisning og erstatning</w:t>
      </w:r>
      <w:r w:rsidR="00D057A4" w:rsidRPr="00482002">
        <w:rPr>
          <w:sz w:val="24"/>
          <w:szCs w:val="24"/>
        </w:rPr>
        <w:t>. Disse</w:t>
      </w:r>
      <w:r w:rsidR="00ED0049" w:rsidRPr="00482002">
        <w:rPr>
          <w:sz w:val="24"/>
          <w:szCs w:val="24"/>
        </w:rPr>
        <w:t xml:space="preserve"> får også anvendelse ved seksuell trakassering. (I begge disse paragrafene er det gjort unntak for bestemmelsen i lovens § 13 sjette ledd. Den gjelder imidlertid helt andre forhold).</w:t>
      </w:r>
    </w:p>
    <w:p w14:paraId="74B2A16A" w14:textId="77777777" w:rsidR="00ED0049" w:rsidRPr="00482002" w:rsidRDefault="00ED0049" w:rsidP="00C0409F">
      <w:pPr>
        <w:pStyle w:val="Ingenmellomrom"/>
        <w:rPr>
          <w:sz w:val="24"/>
          <w:szCs w:val="24"/>
        </w:rPr>
      </w:pPr>
    </w:p>
    <w:p w14:paraId="03E753F3" w14:textId="77777777" w:rsidR="00C8207B" w:rsidRDefault="00ED0049" w:rsidP="00C0409F">
      <w:pPr>
        <w:pStyle w:val="Ingenmellomrom"/>
        <w:rPr>
          <w:sz w:val="24"/>
          <w:szCs w:val="24"/>
        </w:rPr>
      </w:pPr>
      <w:r w:rsidRPr="00482002">
        <w:rPr>
          <w:sz w:val="24"/>
          <w:szCs w:val="24"/>
        </w:rPr>
        <w:t>I lov 16. juni 2017 nr. 50 om Likestillings- og diskrimineringsombudet og Diskrimineringsnemnda § 7 første ledd bokstav a) er det gjort unntak i nemndas ansvarsområde for håndhevelse av forbudet i diskrimineringsloven § 13</w:t>
      </w:r>
      <w:r w:rsidR="00D057A4" w:rsidRPr="00482002">
        <w:rPr>
          <w:sz w:val="24"/>
          <w:szCs w:val="24"/>
        </w:rPr>
        <w:t>,</w:t>
      </w:r>
      <w:r w:rsidRPr="00482002">
        <w:rPr>
          <w:sz w:val="24"/>
          <w:szCs w:val="24"/>
        </w:rPr>
        <w:t xml:space="preserve"> håndhevelse </w:t>
      </w:r>
      <w:r w:rsidR="00C918CE" w:rsidRPr="00482002">
        <w:rPr>
          <w:sz w:val="24"/>
          <w:szCs w:val="24"/>
        </w:rPr>
        <w:t xml:space="preserve">om seksuell trakassering. Det fremgår av forarbeidene at departementet mente at slik diskriminering best håndheves av alminnelige domstoler pga de bevisspørsmål slike saker regelmessig reiser. </w:t>
      </w:r>
      <w:r w:rsidR="00D057A4" w:rsidRPr="00482002">
        <w:rPr>
          <w:sz w:val="24"/>
          <w:szCs w:val="24"/>
        </w:rPr>
        <w:t xml:space="preserve">I denne forbindelse har departementet ikke </w:t>
      </w:r>
      <w:r w:rsidR="00C918CE" w:rsidRPr="00482002">
        <w:rPr>
          <w:sz w:val="24"/>
          <w:szCs w:val="24"/>
        </w:rPr>
        <w:t>har trukket inn at diskrimineringslovens bevisregel også gjelder for seksuell trakassering.</w:t>
      </w:r>
    </w:p>
    <w:p w14:paraId="5C8C4F3E" w14:textId="77777777" w:rsidR="00C8207B" w:rsidRDefault="00C8207B">
      <w:pPr>
        <w:rPr>
          <w:sz w:val="24"/>
          <w:szCs w:val="24"/>
        </w:rPr>
      </w:pPr>
      <w:r>
        <w:rPr>
          <w:sz w:val="24"/>
          <w:szCs w:val="24"/>
        </w:rPr>
        <w:br w:type="page"/>
      </w:r>
    </w:p>
    <w:p w14:paraId="0DC8DFAF" w14:textId="77777777" w:rsidR="00C918CE" w:rsidRPr="00482002" w:rsidRDefault="00482002" w:rsidP="00C0409F">
      <w:pPr>
        <w:pStyle w:val="Ingenmellomrom"/>
        <w:rPr>
          <w:sz w:val="24"/>
          <w:szCs w:val="24"/>
        </w:rPr>
      </w:pPr>
      <w:r w:rsidRPr="00482002">
        <w:rPr>
          <w:noProof/>
          <w:sz w:val="24"/>
          <w:szCs w:val="24"/>
          <w:lang w:eastAsia="nb-NO"/>
        </w:rPr>
        <w:lastRenderedPageBreak/>
        <w:drawing>
          <wp:anchor distT="0" distB="0" distL="114300" distR="114300" simplePos="0" relativeHeight="251658240" behindDoc="1" locked="0" layoutInCell="1" allowOverlap="1" wp14:anchorId="10F71FBE" wp14:editId="738980E1">
            <wp:simplePos x="0" y="0"/>
            <wp:positionH relativeFrom="column">
              <wp:posOffset>4573905</wp:posOffset>
            </wp:positionH>
            <wp:positionV relativeFrom="paragraph">
              <wp:posOffset>-443865</wp:posOffset>
            </wp:positionV>
            <wp:extent cx="1444625" cy="1550670"/>
            <wp:effectExtent l="0" t="0" r="3175" b="0"/>
            <wp:wrapTight wrapText="bothSides">
              <wp:wrapPolygon edited="0">
                <wp:start x="7975" y="0"/>
                <wp:lineTo x="5982" y="531"/>
                <wp:lineTo x="1424" y="3715"/>
                <wp:lineTo x="285" y="6634"/>
                <wp:lineTo x="0" y="7695"/>
                <wp:lineTo x="0" y="13268"/>
                <wp:lineTo x="1709" y="17779"/>
                <wp:lineTo x="7121" y="20963"/>
                <wp:lineTo x="8260" y="21229"/>
                <wp:lineTo x="13102" y="21229"/>
                <wp:lineTo x="14527" y="20963"/>
                <wp:lineTo x="19654" y="17779"/>
                <wp:lineTo x="21363" y="13268"/>
                <wp:lineTo x="21363" y="7695"/>
                <wp:lineTo x="19938" y="3715"/>
                <wp:lineTo x="15096" y="265"/>
                <wp:lineTo x="13387" y="0"/>
                <wp:lineTo x="7975" y="0"/>
              </wp:wrapPolygon>
            </wp:wrapTight>
            <wp:docPr id="2" name="Bilde 2"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62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8CE" w:rsidRPr="00482002">
        <w:rPr>
          <w:sz w:val="24"/>
          <w:szCs w:val="24"/>
        </w:rPr>
        <w:t>Etter vårt syn er denne rettstilstanden i strid med likebehandlingsprinsippet som følger av EUs likestillingsdirektiv og FNs Kvinnediskriminerings</w:t>
      </w:r>
      <w:r w:rsidR="00D057A4" w:rsidRPr="00482002">
        <w:rPr>
          <w:sz w:val="24"/>
          <w:szCs w:val="24"/>
        </w:rPr>
        <w:t>-</w:t>
      </w:r>
      <w:r w:rsidR="00C918CE" w:rsidRPr="00482002">
        <w:rPr>
          <w:sz w:val="24"/>
          <w:szCs w:val="24"/>
        </w:rPr>
        <w:t>konvensjonen.</w:t>
      </w:r>
    </w:p>
    <w:p w14:paraId="6E39EE19" w14:textId="77777777" w:rsidR="00536A61" w:rsidRPr="00482002" w:rsidRDefault="00536A61" w:rsidP="00C0409F">
      <w:pPr>
        <w:pStyle w:val="Ingenmellomrom"/>
        <w:rPr>
          <w:sz w:val="24"/>
          <w:szCs w:val="24"/>
        </w:rPr>
      </w:pPr>
    </w:p>
    <w:p w14:paraId="3F7037C2" w14:textId="77777777" w:rsidR="00536A61" w:rsidRPr="00482002" w:rsidRDefault="00536A61" w:rsidP="00C0409F">
      <w:pPr>
        <w:pStyle w:val="Ingenmellomrom"/>
        <w:rPr>
          <w:i/>
          <w:sz w:val="24"/>
          <w:szCs w:val="24"/>
        </w:rPr>
      </w:pPr>
      <w:r w:rsidRPr="00482002">
        <w:rPr>
          <w:i/>
          <w:sz w:val="24"/>
          <w:szCs w:val="24"/>
        </w:rPr>
        <w:t>EUs Likestillingsdirektiv</w:t>
      </w:r>
    </w:p>
    <w:p w14:paraId="4F17DEEC" w14:textId="77777777" w:rsidR="00536A61" w:rsidRPr="00482002" w:rsidRDefault="00536A61" w:rsidP="00C0409F">
      <w:pPr>
        <w:pStyle w:val="Ingenmellomrom"/>
        <w:rPr>
          <w:sz w:val="24"/>
          <w:szCs w:val="24"/>
        </w:rPr>
      </w:pPr>
    </w:p>
    <w:p w14:paraId="61CFEE95" w14:textId="77777777" w:rsidR="00536A61" w:rsidRPr="00482002" w:rsidRDefault="00536A61" w:rsidP="00C0409F">
      <w:pPr>
        <w:pStyle w:val="Ingenmellomrom"/>
        <w:rPr>
          <w:sz w:val="24"/>
          <w:szCs w:val="24"/>
        </w:rPr>
      </w:pPr>
      <w:r w:rsidRPr="00482002">
        <w:rPr>
          <w:sz w:val="24"/>
          <w:szCs w:val="24"/>
        </w:rPr>
        <w:t>Likestillingsdirektivet er tatt inn som del av EØS avtalen, og skal være skal være gjennomført i norsk rett. I direktivets artikkel 2 nr. 1 bokstav d) definere</w:t>
      </w:r>
      <w:r w:rsidR="00D057A4" w:rsidRPr="00482002">
        <w:rPr>
          <w:sz w:val="24"/>
          <w:szCs w:val="24"/>
        </w:rPr>
        <w:t>s</w:t>
      </w:r>
      <w:r w:rsidRPr="00482002">
        <w:rPr>
          <w:sz w:val="24"/>
          <w:szCs w:val="24"/>
        </w:rPr>
        <w:t xml:space="preserve"> seksuell trakassering. Det fremgår av artikkelens nr. 2 at «skilnadshandsaming» i direktivet betyr «trakassering og seksuell trakassering». </w:t>
      </w:r>
      <w:r w:rsidR="000254EA" w:rsidRPr="00482002">
        <w:rPr>
          <w:sz w:val="24"/>
          <w:szCs w:val="24"/>
        </w:rPr>
        <w:t>Artikkel 4 har et generelt forbud mot «skil</w:t>
      </w:r>
      <w:r w:rsidR="00F7303F" w:rsidRPr="00482002">
        <w:rPr>
          <w:sz w:val="24"/>
          <w:szCs w:val="24"/>
        </w:rPr>
        <w:t>nadshandsaming».</w:t>
      </w:r>
    </w:p>
    <w:p w14:paraId="0100A4B9" w14:textId="77777777" w:rsidR="00F7303F" w:rsidRPr="00482002" w:rsidRDefault="00F7303F" w:rsidP="00C0409F">
      <w:pPr>
        <w:pStyle w:val="Ingenmellomrom"/>
        <w:rPr>
          <w:sz w:val="24"/>
          <w:szCs w:val="24"/>
        </w:rPr>
      </w:pPr>
    </w:p>
    <w:p w14:paraId="10BBF17A" w14:textId="77777777" w:rsidR="00F7303F" w:rsidRPr="00482002" w:rsidRDefault="00F7303F" w:rsidP="00C0409F">
      <w:pPr>
        <w:pStyle w:val="Ingenmellomrom"/>
        <w:rPr>
          <w:sz w:val="24"/>
          <w:szCs w:val="24"/>
        </w:rPr>
      </w:pPr>
      <w:r w:rsidRPr="00482002">
        <w:rPr>
          <w:sz w:val="24"/>
          <w:szCs w:val="24"/>
        </w:rPr>
        <w:t xml:space="preserve">Artikkel 17 om «Forsvar av </w:t>
      </w:r>
      <w:proofErr w:type="spellStart"/>
      <w:r w:rsidRPr="00482002">
        <w:rPr>
          <w:sz w:val="24"/>
          <w:szCs w:val="24"/>
        </w:rPr>
        <w:t>rettar</w:t>
      </w:r>
      <w:proofErr w:type="spellEnd"/>
      <w:r w:rsidRPr="00482002">
        <w:rPr>
          <w:sz w:val="24"/>
          <w:szCs w:val="24"/>
        </w:rPr>
        <w:t xml:space="preserve">», </w:t>
      </w:r>
      <w:r w:rsidR="007455CF" w:rsidRPr="00482002">
        <w:rPr>
          <w:sz w:val="24"/>
          <w:szCs w:val="24"/>
        </w:rPr>
        <w:t>pålegger ikke statene å innføre noe bestemt system for å håndheve rettigheter etter direktivet. Men gitt at Norge har åpnet for at diskrimineringsnemnda har kompetanse til å behandle alle andre diskrimineringsgrunnlag enn seksuell</w:t>
      </w:r>
      <w:r w:rsidRPr="00482002">
        <w:rPr>
          <w:sz w:val="24"/>
          <w:szCs w:val="24"/>
        </w:rPr>
        <w:t xml:space="preserve"> </w:t>
      </w:r>
      <w:r w:rsidR="007455CF" w:rsidRPr="00482002">
        <w:rPr>
          <w:sz w:val="24"/>
          <w:szCs w:val="24"/>
        </w:rPr>
        <w:t xml:space="preserve">trakassering, vil det etter vårt syn bli oppfattet som en forskjellsbehandling av seksuell trakassering at dette tilbudet ikke er tilgjengelig for den som mener seg seksuelt trakassert. I den sammenheng finner Norges Kvinnelobby særlig å peke på forpliktelsene etter artikkel 20 som forutsetter at et likestillingsorgan skal yte den som er offer for </w:t>
      </w:r>
      <w:proofErr w:type="spellStart"/>
      <w:r w:rsidR="007455CF" w:rsidRPr="00482002">
        <w:rPr>
          <w:sz w:val="24"/>
          <w:szCs w:val="24"/>
        </w:rPr>
        <w:t>skildnadshandsaming</w:t>
      </w:r>
      <w:proofErr w:type="spellEnd"/>
      <w:r w:rsidR="00D057A4" w:rsidRPr="00482002">
        <w:rPr>
          <w:sz w:val="24"/>
          <w:szCs w:val="24"/>
        </w:rPr>
        <w:t>,</w:t>
      </w:r>
      <w:r w:rsidR="007455CF" w:rsidRPr="00482002">
        <w:rPr>
          <w:sz w:val="24"/>
          <w:szCs w:val="24"/>
        </w:rPr>
        <w:t xml:space="preserve"> omfattende bistand, se nr. 2 bokstav a).</w:t>
      </w:r>
    </w:p>
    <w:p w14:paraId="152B8581" w14:textId="77777777" w:rsidR="007455CF" w:rsidRPr="00482002" w:rsidRDefault="007455CF" w:rsidP="00C0409F">
      <w:pPr>
        <w:pStyle w:val="Ingenmellomrom"/>
        <w:rPr>
          <w:sz w:val="24"/>
          <w:szCs w:val="24"/>
        </w:rPr>
      </w:pPr>
    </w:p>
    <w:p w14:paraId="41AD5CF9" w14:textId="77777777" w:rsidR="000254EA" w:rsidRPr="00482002" w:rsidRDefault="007455CF" w:rsidP="00C0409F">
      <w:pPr>
        <w:pStyle w:val="Ingenmellomrom"/>
        <w:rPr>
          <w:sz w:val="24"/>
          <w:szCs w:val="24"/>
        </w:rPr>
      </w:pPr>
      <w:r w:rsidRPr="00482002">
        <w:rPr>
          <w:sz w:val="24"/>
          <w:szCs w:val="24"/>
        </w:rPr>
        <w:t xml:space="preserve">Dagens situasjon i Norge er at en som mener seg seksuelt trakassert alene må ta sin sak til domstolene, uten noen form for bistand fra noe offentlig organ. Norges Kvinnelobby mener Norge her bryter </w:t>
      </w:r>
      <w:r w:rsidR="009E6E25" w:rsidRPr="00482002">
        <w:rPr>
          <w:sz w:val="24"/>
          <w:szCs w:val="24"/>
        </w:rPr>
        <w:t>sin plikt til likebehandling av ulike former for diskriminering.</w:t>
      </w:r>
    </w:p>
    <w:p w14:paraId="32D49A02" w14:textId="77777777" w:rsidR="00482002" w:rsidRDefault="00482002" w:rsidP="00482002">
      <w:pPr>
        <w:pStyle w:val="Ingenmellomrom"/>
        <w:jc w:val="right"/>
        <w:rPr>
          <w:i/>
          <w:sz w:val="28"/>
          <w:szCs w:val="28"/>
        </w:rPr>
      </w:pPr>
    </w:p>
    <w:p w14:paraId="2124FCEB" w14:textId="77777777" w:rsidR="00C918CE" w:rsidRPr="00482002" w:rsidRDefault="00C918CE" w:rsidP="00C0409F">
      <w:pPr>
        <w:pStyle w:val="Ingenmellomrom"/>
        <w:rPr>
          <w:i/>
          <w:sz w:val="24"/>
          <w:szCs w:val="24"/>
        </w:rPr>
      </w:pPr>
      <w:r w:rsidRPr="00482002">
        <w:rPr>
          <w:i/>
          <w:sz w:val="24"/>
          <w:szCs w:val="24"/>
        </w:rPr>
        <w:t>Kvinnediskrimineringskonvensjonen</w:t>
      </w:r>
    </w:p>
    <w:p w14:paraId="23079412" w14:textId="77777777" w:rsidR="00893467" w:rsidRPr="00482002" w:rsidRDefault="00893467" w:rsidP="00893467">
      <w:pPr>
        <w:pStyle w:val="Ingenmellomrom"/>
        <w:rPr>
          <w:sz w:val="24"/>
          <w:szCs w:val="24"/>
        </w:rPr>
      </w:pPr>
      <w:r w:rsidRPr="00482002">
        <w:rPr>
          <w:sz w:val="24"/>
          <w:szCs w:val="24"/>
        </w:rPr>
        <w:t>I tillegg til konvensjonsteksten foreligger det en rekke</w:t>
      </w:r>
      <w:r>
        <w:rPr>
          <w:sz w:val="28"/>
          <w:szCs w:val="28"/>
        </w:rPr>
        <w:t xml:space="preserve"> </w:t>
      </w:r>
      <w:r w:rsidRPr="00482002">
        <w:rPr>
          <w:sz w:val="24"/>
          <w:szCs w:val="24"/>
        </w:rPr>
        <w:t xml:space="preserve">General </w:t>
      </w:r>
      <w:proofErr w:type="spellStart"/>
      <w:r w:rsidRPr="00482002">
        <w:rPr>
          <w:sz w:val="24"/>
          <w:szCs w:val="24"/>
        </w:rPr>
        <w:t>Recommendations</w:t>
      </w:r>
      <w:proofErr w:type="spellEnd"/>
      <w:r w:rsidRPr="00482002">
        <w:rPr>
          <w:sz w:val="24"/>
          <w:szCs w:val="24"/>
        </w:rPr>
        <w:t xml:space="preserve"> (GR)</w:t>
      </w:r>
      <w:r w:rsidRPr="00482002">
        <w:rPr>
          <w:rStyle w:val="Fotnotereferanse"/>
          <w:sz w:val="24"/>
          <w:szCs w:val="24"/>
        </w:rPr>
        <w:footnoteReference w:id="1"/>
      </w:r>
      <w:r w:rsidRPr="00482002">
        <w:rPr>
          <w:sz w:val="24"/>
          <w:szCs w:val="24"/>
        </w:rPr>
        <w:t xml:space="preserve"> hvor forpliktelsene etter konvensjonen er nærmere angitt. Etter konvensjonens artikkel 2 bokstav c) er Norge forpliktet til å innføre et sterkt rettsvern for kvinners rettigheter på lik linje med menns, via kompetente nasjonale domstoler og andre offentlige institusjoner. Av GR 19 nr. 24 bokstav i) følger blant annet at det må sørges for en effektiv klageordning. I GR 35 nr. 31 er hensynet til at den som har blitt utsatt for trakassering/seksuell trakassering skal få sin sak behandlet, og særlig at «</w:t>
      </w:r>
      <w:proofErr w:type="spellStart"/>
      <w:r w:rsidRPr="00482002">
        <w:rPr>
          <w:sz w:val="24"/>
          <w:szCs w:val="24"/>
        </w:rPr>
        <w:t>measures</w:t>
      </w:r>
      <w:proofErr w:type="spellEnd"/>
      <w:r w:rsidRPr="00482002">
        <w:rPr>
          <w:sz w:val="24"/>
          <w:szCs w:val="24"/>
        </w:rPr>
        <w:t xml:space="preserve"> </w:t>
      </w:r>
      <w:proofErr w:type="spellStart"/>
      <w:r w:rsidRPr="00482002">
        <w:rPr>
          <w:sz w:val="24"/>
          <w:szCs w:val="24"/>
        </w:rPr>
        <w:t>should</w:t>
      </w:r>
      <w:proofErr w:type="spellEnd"/>
      <w:r w:rsidRPr="00482002">
        <w:rPr>
          <w:sz w:val="24"/>
          <w:szCs w:val="24"/>
        </w:rPr>
        <w:t xml:space="preserve"> </w:t>
      </w:r>
      <w:proofErr w:type="spellStart"/>
      <w:r w:rsidRPr="00482002">
        <w:rPr>
          <w:sz w:val="24"/>
          <w:szCs w:val="24"/>
        </w:rPr>
        <w:t>avoid</w:t>
      </w:r>
      <w:proofErr w:type="spellEnd"/>
      <w:r w:rsidRPr="00482002">
        <w:rPr>
          <w:sz w:val="24"/>
          <w:szCs w:val="24"/>
        </w:rPr>
        <w:t xml:space="preserve"> </w:t>
      </w:r>
      <w:proofErr w:type="spellStart"/>
      <w:r w:rsidRPr="00482002">
        <w:rPr>
          <w:sz w:val="24"/>
          <w:szCs w:val="24"/>
        </w:rPr>
        <w:t>imposing</w:t>
      </w:r>
      <w:proofErr w:type="spellEnd"/>
      <w:r w:rsidRPr="00482002">
        <w:rPr>
          <w:sz w:val="24"/>
          <w:szCs w:val="24"/>
        </w:rPr>
        <w:t xml:space="preserve"> an </w:t>
      </w:r>
      <w:proofErr w:type="spellStart"/>
      <w:r w:rsidRPr="00482002">
        <w:rPr>
          <w:sz w:val="24"/>
          <w:szCs w:val="24"/>
        </w:rPr>
        <w:t>undue</w:t>
      </w:r>
      <w:proofErr w:type="spellEnd"/>
      <w:r w:rsidRPr="00482002">
        <w:rPr>
          <w:sz w:val="24"/>
          <w:szCs w:val="24"/>
        </w:rPr>
        <w:t xml:space="preserve"> </w:t>
      </w:r>
      <w:proofErr w:type="spellStart"/>
      <w:r w:rsidRPr="00482002">
        <w:rPr>
          <w:sz w:val="24"/>
          <w:szCs w:val="24"/>
        </w:rPr>
        <w:t>financial</w:t>
      </w:r>
      <w:proofErr w:type="spellEnd"/>
      <w:r w:rsidRPr="00482002">
        <w:rPr>
          <w:sz w:val="24"/>
          <w:szCs w:val="24"/>
        </w:rPr>
        <w:t xml:space="preserve">, </w:t>
      </w:r>
      <w:proofErr w:type="spellStart"/>
      <w:r w:rsidRPr="00482002">
        <w:rPr>
          <w:sz w:val="24"/>
          <w:szCs w:val="24"/>
        </w:rPr>
        <w:t>bureaucratic</w:t>
      </w:r>
      <w:proofErr w:type="spellEnd"/>
      <w:r w:rsidRPr="00482002">
        <w:rPr>
          <w:sz w:val="24"/>
          <w:szCs w:val="24"/>
        </w:rPr>
        <w:t xml:space="preserve"> or personal </w:t>
      </w:r>
      <w:proofErr w:type="spellStart"/>
      <w:r w:rsidRPr="00482002">
        <w:rPr>
          <w:sz w:val="24"/>
          <w:szCs w:val="24"/>
        </w:rPr>
        <w:t>burde</w:t>
      </w:r>
      <w:r w:rsidR="00482002">
        <w:rPr>
          <w:sz w:val="24"/>
          <w:szCs w:val="24"/>
        </w:rPr>
        <w:t>n</w:t>
      </w:r>
      <w:proofErr w:type="spellEnd"/>
      <w:r w:rsidRPr="00482002">
        <w:rPr>
          <w:sz w:val="24"/>
          <w:szCs w:val="24"/>
        </w:rPr>
        <w:t xml:space="preserve"> </w:t>
      </w:r>
      <w:proofErr w:type="spellStart"/>
      <w:r w:rsidRPr="00482002">
        <w:rPr>
          <w:sz w:val="24"/>
          <w:szCs w:val="24"/>
        </w:rPr>
        <w:t>on</w:t>
      </w:r>
      <w:proofErr w:type="spellEnd"/>
      <w:r w:rsidRPr="00482002">
        <w:rPr>
          <w:sz w:val="24"/>
          <w:szCs w:val="24"/>
        </w:rPr>
        <w:t xml:space="preserve"> </w:t>
      </w:r>
      <w:proofErr w:type="spellStart"/>
      <w:r w:rsidRPr="00482002">
        <w:rPr>
          <w:sz w:val="24"/>
          <w:szCs w:val="24"/>
        </w:rPr>
        <w:t>women</w:t>
      </w:r>
      <w:proofErr w:type="spellEnd"/>
      <w:r w:rsidRPr="00482002">
        <w:rPr>
          <w:sz w:val="24"/>
          <w:szCs w:val="24"/>
        </w:rPr>
        <w:t xml:space="preserve"> </w:t>
      </w:r>
      <w:proofErr w:type="spellStart"/>
      <w:r w:rsidRPr="00482002">
        <w:rPr>
          <w:sz w:val="24"/>
          <w:szCs w:val="24"/>
        </w:rPr>
        <w:t>who</w:t>
      </w:r>
      <w:proofErr w:type="spellEnd"/>
      <w:r w:rsidRPr="00482002">
        <w:rPr>
          <w:sz w:val="24"/>
          <w:szCs w:val="24"/>
        </w:rPr>
        <w:t xml:space="preserve"> </w:t>
      </w:r>
      <w:proofErr w:type="spellStart"/>
      <w:r w:rsidRPr="00482002">
        <w:rPr>
          <w:sz w:val="24"/>
          <w:szCs w:val="24"/>
        </w:rPr>
        <w:t>are</w:t>
      </w:r>
      <w:proofErr w:type="spellEnd"/>
      <w:r w:rsidRPr="00482002">
        <w:rPr>
          <w:sz w:val="24"/>
          <w:szCs w:val="24"/>
        </w:rPr>
        <w:t xml:space="preserve"> </w:t>
      </w:r>
      <w:proofErr w:type="spellStart"/>
      <w:r w:rsidRPr="00482002">
        <w:rPr>
          <w:sz w:val="24"/>
          <w:szCs w:val="24"/>
        </w:rPr>
        <w:t>victims</w:t>
      </w:r>
      <w:proofErr w:type="spellEnd"/>
      <w:r w:rsidRPr="00482002">
        <w:rPr>
          <w:sz w:val="24"/>
          <w:szCs w:val="24"/>
        </w:rPr>
        <w:t xml:space="preserve"> ...». Dessuten understrekes retten til fri rettshjelp i denne typen saker.</w:t>
      </w:r>
    </w:p>
    <w:p w14:paraId="74C84210" w14:textId="77777777" w:rsidR="00893467" w:rsidRDefault="00893467" w:rsidP="00893467">
      <w:pPr>
        <w:pStyle w:val="Ingenmellomrom"/>
        <w:rPr>
          <w:sz w:val="28"/>
          <w:szCs w:val="28"/>
        </w:rPr>
      </w:pPr>
    </w:p>
    <w:p w14:paraId="419B639D" w14:textId="77777777" w:rsidR="00893467" w:rsidRPr="00482002" w:rsidRDefault="00893467" w:rsidP="00893467">
      <w:pPr>
        <w:pStyle w:val="Ingenmellomrom"/>
        <w:rPr>
          <w:sz w:val="24"/>
          <w:szCs w:val="24"/>
        </w:rPr>
      </w:pPr>
      <w:r w:rsidRPr="00482002">
        <w:rPr>
          <w:sz w:val="24"/>
          <w:szCs w:val="24"/>
        </w:rPr>
        <w:t>Som Norges Kvinnelobby pekte på i sitt brev 9. mars 2018, er Kvinnediskrimineringskomiteen lite tilfreds med utviklingen i Norge for så vidt gjelder behandlingen av saker om seksuell trakassering. Ved behandlingen av Norges periodiske rapport i 2012, anmodet komiteen Norge om å «</w:t>
      </w:r>
      <w:proofErr w:type="spellStart"/>
      <w:r w:rsidRPr="00482002">
        <w:rPr>
          <w:sz w:val="24"/>
          <w:szCs w:val="24"/>
        </w:rPr>
        <w:t>consider</w:t>
      </w:r>
      <w:proofErr w:type="spellEnd"/>
      <w:r w:rsidRPr="00482002">
        <w:rPr>
          <w:sz w:val="24"/>
          <w:szCs w:val="24"/>
        </w:rPr>
        <w:t xml:space="preserve"> </w:t>
      </w:r>
      <w:proofErr w:type="spellStart"/>
      <w:r w:rsidRPr="00482002">
        <w:rPr>
          <w:sz w:val="24"/>
          <w:szCs w:val="24"/>
        </w:rPr>
        <w:t>authorizi</w:t>
      </w:r>
      <w:r w:rsidR="007F2A93" w:rsidRPr="00482002">
        <w:rPr>
          <w:sz w:val="24"/>
          <w:szCs w:val="24"/>
        </w:rPr>
        <w:t>n</w:t>
      </w:r>
      <w:r w:rsidRPr="00482002">
        <w:rPr>
          <w:sz w:val="24"/>
          <w:szCs w:val="24"/>
        </w:rPr>
        <w:t>g</w:t>
      </w:r>
      <w:proofErr w:type="spellEnd"/>
      <w:r w:rsidRPr="00482002">
        <w:rPr>
          <w:sz w:val="24"/>
          <w:szCs w:val="24"/>
        </w:rPr>
        <w:t xml:space="preserve"> </w:t>
      </w:r>
      <w:proofErr w:type="spellStart"/>
      <w:r w:rsidRPr="00482002">
        <w:rPr>
          <w:sz w:val="24"/>
          <w:szCs w:val="24"/>
        </w:rPr>
        <w:t>the</w:t>
      </w:r>
      <w:proofErr w:type="spellEnd"/>
      <w:r w:rsidRPr="00482002">
        <w:rPr>
          <w:sz w:val="24"/>
          <w:szCs w:val="24"/>
        </w:rPr>
        <w:t xml:space="preserve"> Ombud and </w:t>
      </w:r>
      <w:proofErr w:type="spellStart"/>
      <w:r w:rsidRPr="00482002">
        <w:rPr>
          <w:sz w:val="24"/>
          <w:szCs w:val="24"/>
        </w:rPr>
        <w:t>the</w:t>
      </w:r>
      <w:proofErr w:type="spellEnd"/>
      <w:r w:rsidRPr="00482002">
        <w:rPr>
          <w:sz w:val="24"/>
          <w:szCs w:val="24"/>
        </w:rPr>
        <w:t xml:space="preserve"> Tribunal to </w:t>
      </w:r>
      <w:proofErr w:type="spellStart"/>
      <w:r w:rsidRPr="00482002">
        <w:rPr>
          <w:sz w:val="24"/>
          <w:szCs w:val="24"/>
        </w:rPr>
        <w:t>hear</w:t>
      </w:r>
      <w:proofErr w:type="spellEnd"/>
      <w:r w:rsidRPr="00482002">
        <w:rPr>
          <w:sz w:val="24"/>
          <w:szCs w:val="24"/>
        </w:rPr>
        <w:t xml:space="preserve"> cases </w:t>
      </w:r>
      <w:proofErr w:type="spellStart"/>
      <w:r w:rsidRPr="00482002">
        <w:rPr>
          <w:sz w:val="24"/>
          <w:szCs w:val="24"/>
        </w:rPr>
        <w:t>of</w:t>
      </w:r>
      <w:proofErr w:type="spellEnd"/>
      <w:r w:rsidRPr="00482002">
        <w:rPr>
          <w:sz w:val="24"/>
          <w:szCs w:val="24"/>
        </w:rPr>
        <w:t xml:space="preserve"> </w:t>
      </w:r>
      <w:proofErr w:type="spellStart"/>
      <w:r w:rsidRPr="00482002">
        <w:rPr>
          <w:sz w:val="24"/>
          <w:szCs w:val="24"/>
        </w:rPr>
        <w:t>sexual</w:t>
      </w:r>
      <w:proofErr w:type="spellEnd"/>
      <w:r w:rsidRPr="00482002">
        <w:rPr>
          <w:sz w:val="24"/>
          <w:szCs w:val="24"/>
        </w:rPr>
        <w:t xml:space="preserve"> </w:t>
      </w:r>
      <w:proofErr w:type="spellStart"/>
      <w:r w:rsidRPr="00482002">
        <w:rPr>
          <w:sz w:val="24"/>
          <w:szCs w:val="24"/>
        </w:rPr>
        <w:t>harassment</w:t>
      </w:r>
      <w:proofErr w:type="spellEnd"/>
      <w:r w:rsidRPr="00482002">
        <w:rPr>
          <w:sz w:val="24"/>
          <w:szCs w:val="24"/>
        </w:rPr>
        <w:t>». Ved behandlingen av Norges 9. rapport i november 2017 ble Norge pålagt å utvide diskrimineringsnemndas kompetanse i saker om seksuell trakassering.</w:t>
      </w:r>
    </w:p>
    <w:p w14:paraId="014944FF" w14:textId="77777777" w:rsidR="00893467" w:rsidRPr="00482002" w:rsidRDefault="00893467" w:rsidP="00893467">
      <w:pPr>
        <w:pStyle w:val="Ingenmellomrom"/>
        <w:rPr>
          <w:sz w:val="24"/>
          <w:szCs w:val="24"/>
        </w:rPr>
      </w:pPr>
    </w:p>
    <w:p w14:paraId="72E89EA2" w14:textId="77777777" w:rsidR="00893467" w:rsidRPr="00482002" w:rsidRDefault="00893467" w:rsidP="00893467">
      <w:pPr>
        <w:pStyle w:val="Ingenmellomrom"/>
        <w:rPr>
          <w:sz w:val="24"/>
          <w:szCs w:val="24"/>
        </w:rPr>
      </w:pPr>
      <w:r w:rsidRPr="00482002">
        <w:rPr>
          <w:sz w:val="24"/>
          <w:szCs w:val="24"/>
        </w:rPr>
        <w:t xml:space="preserve">                                                     ------------------</w:t>
      </w:r>
    </w:p>
    <w:p w14:paraId="611AAF4D" w14:textId="77777777" w:rsidR="00893467" w:rsidRPr="00482002" w:rsidRDefault="00482002" w:rsidP="00893467">
      <w:pPr>
        <w:pStyle w:val="Ingenmellomrom"/>
        <w:rPr>
          <w:sz w:val="24"/>
          <w:szCs w:val="24"/>
        </w:rPr>
      </w:pPr>
      <w:r>
        <w:rPr>
          <w:noProof/>
          <w:lang w:eastAsia="nb-NO"/>
        </w:rPr>
        <w:lastRenderedPageBreak/>
        <w:drawing>
          <wp:anchor distT="0" distB="0" distL="114300" distR="114300" simplePos="0" relativeHeight="251660288" behindDoc="1" locked="0" layoutInCell="1" allowOverlap="1" wp14:anchorId="7D22352A" wp14:editId="245E8F29">
            <wp:simplePos x="0" y="0"/>
            <wp:positionH relativeFrom="column">
              <wp:posOffset>4625975</wp:posOffset>
            </wp:positionH>
            <wp:positionV relativeFrom="paragraph">
              <wp:posOffset>-435610</wp:posOffset>
            </wp:positionV>
            <wp:extent cx="1444625" cy="1550670"/>
            <wp:effectExtent l="0" t="0" r="3175" b="0"/>
            <wp:wrapTight wrapText="bothSides">
              <wp:wrapPolygon edited="0">
                <wp:start x="7975" y="0"/>
                <wp:lineTo x="5982" y="531"/>
                <wp:lineTo x="1424" y="3715"/>
                <wp:lineTo x="285" y="6634"/>
                <wp:lineTo x="0" y="7695"/>
                <wp:lineTo x="0" y="13268"/>
                <wp:lineTo x="1709" y="17779"/>
                <wp:lineTo x="7121" y="20963"/>
                <wp:lineTo x="8260" y="21229"/>
                <wp:lineTo x="13102" y="21229"/>
                <wp:lineTo x="14527" y="20963"/>
                <wp:lineTo x="19654" y="17779"/>
                <wp:lineTo x="21363" y="13268"/>
                <wp:lineTo x="21363" y="7695"/>
                <wp:lineTo x="19938" y="3715"/>
                <wp:lineTo x="15096" y="265"/>
                <wp:lineTo x="13387" y="0"/>
                <wp:lineTo x="7975" y="0"/>
              </wp:wrapPolygon>
            </wp:wrapTight>
            <wp:docPr id="4" name="Bilde 4" descr="H:\Norges kvinnelobby\kvinnelobby3.png"/>
            <wp:cNvGraphicFramePr/>
            <a:graphic xmlns:a="http://schemas.openxmlformats.org/drawingml/2006/main">
              <a:graphicData uri="http://schemas.openxmlformats.org/drawingml/2006/picture">
                <pic:pic xmlns:pic="http://schemas.openxmlformats.org/drawingml/2006/picture">
                  <pic:nvPicPr>
                    <pic:cNvPr id="1" name="Bilde 1" descr="H:\Norges kvinnelobby\kvinnelobby3.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62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67" w:rsidRPr="00482002">
        <w:rPr>
          <w:sz w:val="24"/>
          <w:szCs w:val="24"/>
        </w:rPr>
        <w:t xml:space="preserve">De som mener seg seksuelt trakassert, </w:t>
      </w:r>
      <w:r w:rsidR="0019750A" w:rsidRPr="00482002">
        <w:rPr>
          <w:sz w:val="24"/>
          <w:szCs w:val="24"/>
        </w:rPr>
        <w:t>likestilles</w:t>
      </w:r>
      <w:r w:rsidR="00893467" w:rsidRPr="00482002">
        <w:rPr>
          <w:sz w:val="24"/>
          <w:szCs w:val="24"/>
        </w:rPr>
        <w:t xml:space="preserve"> som vi har påvist foran under redegjørelsen for likestillingslovgivningen</w:t>
      </w:r>
      <w:r w:rsidR="007F2A93" w:rsidRPr="00482002">
        <w:rPr>
          <w:sz w:val="24"/>
          <w:szCs w:val="24"/>
        </w:rPr>
        <w:t>,</w:t>
      </w:r>
      <w:r w:rsidR="00893467" w:rsidRPr="00482002">
        <w:rPr>
          <w:sz w:val="24"/>
          <w:szCs w:val="24"/>
        </w:rPr>
        <w:t xml:space="preserve"> med andre diskriminerte grupper ved at den særlige bevis</w:t>
      </w:r>
      <w:r w:rsidR="007F2A93" w:rsidRPr="00482002">
        <w:rPr>
          <w:sz w:val="24"/>
          <w:szCs w:val="24"/>
        </w:rPr>
        <w:t>byrde</w:t>
      </w:r>
      <w:r w:rsidR="00893467" w:rsidRPr="00482002">
        <w:rPr>
          <w:sz w:val="24"/>
          <w:szCs w:val="24"/>
        </w:rPr>
        <w:t xml:space="preserve">regelen får anvendelse, og </w:t>
      </w:r>
      <w:r w:rsidR="007F2A93" w:rsidRPr="00482002">
        <w:rPr>
          <w:sz w:val="24"/>
          <w:szCs w:val="24"/>
        </w:rPr>
        <w:t xml:space="preserve">ved </w:t>
      </w:r>
      <w:r w:rsidR="00893467" w:rsidRPr="00482002">
        <w:rPr>
          <w:sz w:val="24"/>
          <w:szCs w:val="24"/>
        </w:rPr>
        <w:t xml:space="preserve">at de kan tilkjennes både erstatning og oppreisning. På den annen side diskrimineres de seksuelt trakasserte – vedvarende – ved at gjeldende lovgivning henviser gruppen til å håndheve sine rettigheter ved de alminnelige domstoler. </w:t>
      </w:r>
    </w:p>
    <w:p w14:paraId="57C40B7E" w14:textId="77777777" w:rsidR="007F2A93" w:rsidRPr="00482002" w:rsidRDefault="00893467" w:rsidP="007F2A93">
      <w:pPr>
        <w:pStyle w:val="Ingenmellomrom"/>
        <w:rPr>
          <w:sz w:val="24"/>
          <w:szCs w:val="24"/>
        </w:rPr>
      </w:pPr>
      <w:r w:rsidRPr="00482002">
        <w:rPr>
          <w:sz w:val="24"/>
          <w:szCs w:val="24"/>
        </w:rPr>
        <w:t>Norges Kvinnelobby kan ikke se at det er saklig, nødvendig eller proporsjonalt å forskjellsbehandle kvinner og menn som har vært utsett for kjønnsbasert trakassering og/eller seksuell trakassering</w:t>
      </w:r>
      <w:r w:rsidR="007F2A93" w:rsidRPr="00482002">
        <w:rPr>
          <w:sz w:val="24"/>
          <w:szCs w:val="24"/>
        </w:rPr>
        <w:t xml:space="preserve"> når det kommer til håndhevelsen av denne retten. </w:t>
      </w:r>
    </w:p>
    <w:p w14:paraId="16F9B78B" w14:textId="77777777" w:rsidR="0019750A" w:rsidRPr="00482002" w:rsidRDefault="0019750A" w:rsidP="007F2A93">
      <w:pPr>
        <w:pStyle w:val="Ingenmellomrom"/>
        <w:rPr>
          <w:sz w:val="24"/>
          <w:szCs w:val="24"/>
        </w:rPr>
      </w:pPr>
    </w:p>
    <w:p w14:paraId="05031003" w14:textId="77777777" w:rsidR="0019750A" w:rsidRDefault="0019750A" w:rsidP="007F2A93">
      <w:pPr>
        <w:pStyle w:val="Ingenmellomrom"/>
        <w:rPr>
          <w:sz w:val="28"/>
          <w:szCs w:val="28"/>
        </w:rPr>
      </w:pPr>
      <w:r w:rsidRPr="00482002">
        <w:rPr>
          <w:sz w:val="24"/>
          <w:szCs w:val="24"/>
        </w:rPr>
        <w:t>Gitt bevisbyrderegelen kan Norges Kvinnelobby heller ikke se at saker om seksuell trakassering ikke skulle håndheves av diskrimineringsnemnda. I den forbindelse minner vi om at en rekke nemndsmedlemmer har juridisk kompetanse</w:t>
      </w:r>
      <w:r>
        <w:rPr>
          <w:sz w:val="28"/>
          <w:szCs w:val="28"/>
        </w:rPr>
        <w:t>.</w:t>
      </w:r>
    </w:p>
    <w:p w14:paraId="618A05A0" w14:textId="77777777" w:rsidR="00482002" w:rsidRPr="00482002" w:rsidRDefault="00482002" w:rsidP="00482002">
      <w:pPr>
        <w:pStyle w:val="Ingenmellomrom"/>
        <w:rPr>
          <w:sz w:val="24"/>
          <w:szCs w:val="24"/>
        </w:rPr>
      </w:pPr>
    </w:p>
    <w:p w14:paraId="0706B05B" w14:textId="77777777" w:rsidR="007F2A93" w:rsidRPr="00482002" w:rsidRDefault="007F2A93" w:rsidP="007F2A93">
      <w:pPr>
        <w:pStyle w:val="Ingenmellomrom"/>
        <w:rPr>
          <w:sz w:val="24"/>
          <w:szCs w:val="24"/>
        </w:rPr>
      </w:pPr>
      <w:r w:rsidRPr="00482002">
        <w:rPr>
          <w:sz w:val="24"/>
          <w:szCs w:val="24"/>
        </w:rPr>
        <w:t xml:space="preserve">                                                   ------------------</w:t>
      </w:r>
    </w:p>
    <w:p w14:paraId="26A855BF" w14:textId="77777777" w:rsidR="00482002" w:rsidRPr="00482002" w:rsidRDefault="00482002" w:rsidP="007F2A93">
      <w:pPr>
        <w:pStyle w:val="Ingenmellomrom"/>
        <w:rPr>
          <w:sz w:val="24"/>
          <w:szCs w:val="24"/>
        </w:rPr>
      </w:pPr>
    </w:p>
    <w:p w14:paraId="22EE4D31" w14:textId="77777777" w:rsidR="007F2A93" w:rsidRPr="00482002" w:rsidRDefault="007F2A93" w:rsidP="007F2A93">
      <w:pPr>
        <w:pStyle w:val="Ingenmellomrom"/>
        <w:rPr>
          <w:sz w:val="24"/>
          <w:szCs w:val="24"/>
        </w:rPr>
      </w:pPr>
      <w:r w:rsidRPr="00482002">
        <w:rPr>
          <w:sz w:val="24"/>
          <w:szCs w:val="24"/>
        </w:rPr>
        <w:t>Norges Kvinnelobby mener imidlertid</w:t>
      </w:r>
      <w:r w:rsidR="0019750A" w:rsidRPr="00482002">
        <w:rPr>
          <w:sz w:val="24"/>
          <w:szCs w:val="24"/>
        </w:rPr>
        <w:t xml:space="preserve"> også</w:t>
      </w:r>
      <w:r w:rsidRPr="00482002">
        <w:rPr>
          <w:sz w:val="24"/>
          <w:szCs w:val="24"/>
        </w:rPr>
        <w:t xml:space="preserve"> at Likestillingsombudet snarest bør settes i stand til å bistå de</w:t>
      </w:r>
      <w:r w:rsidR="00482002">
        <w:rPr>
          <w:sz w:val="24"/>
          <w:szCs w:val="24"/>
        </w:rPr>
        <w:t>m</w:t>
      </w:r>
      <w:r w:rsidRPr="00482002">
        <w:rPr>
          <w:sz w:val="24"/>
          <w:szCs w:val="24"/>
        </w:rPr>
        <w:t xml:space="preserve"> som mener seg seksuelt </w:t>
      </w:r>
      <w:r w:rsidR="00482002">
        <w:rPr>
          <w:sz w:val="24"/>
          <w:szCs w:val="24"/>
        </w:rPr>
        <w:t>trakassert</w:t>
      </w:r>
      <w:r w:rsidRPr="00482002">
        <w:rPr>
          <w:sz w:val="24"/>
          <w:szCs w:val="24"/>
        </w:rPr>
        <w:t>.</w:t>
      </w:r>
    </w:p>
    <w:p w14:paraId="2B140B3F" w14:textId="77777777" w:rsidR="00893467" w:rsidRPr="00482002" w:rsidRDefault="00893467" w:rsidP="00893467">
      <w:pPr>
        <w:pStyle w:val="Ingenmellomrom"/>
        <w:rPr>
          <w:sz w:val="24"/>
          <w:szCs w:val="24"/>
        </w:rPr>
      </w:pPr>
      <w:r w:rsidRPr="00482002">
        <w:rPr>
          <w:sz w:val="24"/>
          <w:szCs w:val="24"/>
        </w:rPr>
        <w:t>Etter vårt syn vil det være en vedvarende ulovlig forskjellsbehandling</w:t>
      </w:r>
      <w:r w:rsidR="007F2A93" w:rsidRPr="00482002">
        <w:rPr>
          <w:sz w:val="24"/>
          <w:szCs w:val="24"/>
        </w:rPr>
        <w:t xml:space="preserve"> fra staten Norges side</w:t>
      </w:r>
      <w:r w:rsidRPr="00482002">
        <w:rPr>
          <w:sz w:val="24"/>
          <w:szCs w:val="24"/>
        </w:rPr>
        <w:t xml:space="preserve"> om den som er diskriminert ved seksuell trakassering</w:t>
      </w:r>
      <w:r w:rsidR="00423679">
        <w:rPr>
          <w:sz w:val="24"/>
          <w:szCs w:val="24"/>
        </w:rPr>
        <w:t>,</w:t>
      </w:r>
      <w:r w:rsidRPr="00482002">
        <w:rPr>
          <w:sz w:val="24"/>
          <w:szCs w:val="24"/>
        </w:rPr>
        <w:t xml:space="preserve"> ikke gis adgang til å få sin sak behandlet av diskrimineringsnemnda på linje med andre diskriminer</w:t>
      </w:r>
      <w:r w:rsidR="007F2A93" w:rsidRPr="00482002">
        <w:rPr>
          <w:sz w:val="24"/>
          <w:szCs w:val="24"/>
        </w:rPr>
        <w:t>te</w:t>
      </w:r>
      <w:r w:rsidRPr="00482002">
        <w:rPr>
          <w:sz w:val="24"/>
          <w:szCs w:val="24"/>
        </w:rPr>
        <w:t>. Vi kan ikke se at videre utredning av saken vil ha annen effekt enn å sikre at Norge også fremover bryter sine forpliktelser.</w:t>
      </w:r>
    </w:p>
    <w:p w14:paraId="3B003D70" w14:textId="77777777" w:rsidR="00893467" w:rsidRPr="00482002" w:rsidRDefault="00893467" w:rsidP="00893467">
      <w:pPr>
        <w:pStyle w:val="Ingenmellomrom"/>
        <w:rPr>
          <w:sz w:val="24"/>
          <w:szCs w:val="24"/>
        </w:rPr>
      </w:pPr>
    </w:p>
    <w:p w14:paraId="5E26EBD8" w14:textId="77777777" w:rsidR="00E76399" w:rsidRPr="00482002" w:rsidRDefault="00E76399" w:rsidP="00C0409F">
      <w:pPr>
        <w:pStyle w:val="Ingenmellomrom"/>
        <w:rPr>
          <w:sz w:val="24"/>
          <w:szCs w:val="24"/>
        </w:rPr>
      </w:pPr>
      <w:bookmarkStart w:id="0" w:name="_GoBack"/>
      <w:bookmarkEnd w:id="0"/>
    </w:p>
    <w:p w14:paraId="16329AFB" w14:textId="77777777" w:rsidR="00E76399" w:rsidRPr="00482002" w:rsidRDefault="00E76399" w:rsidP="00C0409F">
      <w:pPr>
        <w:pStyle w:val="Ingenmellomrom"/>
        <w:rPr>
          <w:sz w:val="24"/>
          <w:szCs w:val="24"/>
        </w:rPr>
      </w:pPr>
      <w:r w:rsidRPr="00482002">
        <w:rPr>
          <w:sz w:val="24"/>
          <w:szCs w:val="24"/>
        </w:rPr>
        <w:t>Dersom komiteen har spørsmål om det som er omtalt i dette brevet</w:t>
      </w:r>
      <w:r w:rsidR="00012F80" w:rsidRPr="00482002">
        <w:rPr>
          <w:sz w:val="24"/>
          <w:szCs w:val="24"/>
        </w:rPr>
        <w:t xml:space="preserve">, kan dere kontakte Karin Bruzelius, medlem av Kvinnelobbyens ekspertgruppe, </w:t>
      </w:r>
      <w:hyperlink r:id="rId8" w:history="1">
        <w:r w:rsidR="00012F80" w:rsidRPr="00482002">
          <w:rPr>
            <w:rStyle w:val="Hyperkobling"/>
            <w:sz w:val="24"/>
            <w:szCs w:val="24"/>
          </w:rPr>
          <w:t>k.m.bruzelius@jus.uio.no</w:t>
        </w:r>
      </w:hyperlink>
      <w:r w:rsidR="00012F80" w:rsidRPr="00482002">
        <w:rPr>
          <w:sz w:val="24"/>
          <w:szCs w:val="24"/>
        </w:rPr>
        <w:t xml:space="preserve"> .</w:t>
      </w:r>
    </w:p>
    <w:p w14:paraId="2E705D09" w14:textId="77777777" w:rsidR="00012F80" w:rsidRPr="00482002" w:rsidRDefault="00012F80" w:rsidP="00C0409F">
      <w:pPr>
        <w:pStyle w:val="Ingenmellomrom"/>
        <w:rPr>
          <w:sz w:val="24"/>
          <w:szCs w:val="24"/>
        </w:rPr>
      </w:pPr>
    </w:p>
    <w:p w14:paraId="27ADF18C" w14:textId="77777777" w:rsidR="00012F80" w:rsidRPr="00482002" w:rsidRDefault="00012F80" w:rsidP="00C0409F">
      <w:pPr>
        <w:pStyle w:val="Ingenmellomrom"/>
        <w:rPr>
          <w:sz w:val="24"/>
          <w:szCs w:val="24"/>
        </w:rPr>
      </w:pPr>
    </w:p>
    <w:p w14:paraId="57184214" w14:textId="77777777" w:rsidR="00012F80" w:rsidRPr="00482002" w:rsidRDefault="00012F80" w:rsidP="00C0409F">
      <w:pPr>
        <w:pStyle w:val="Ingenmellomrom"/>
        <w:rPr>
          <w:sz w:val="24"/>
          <w:szCs w:val="24"/>
        </w:rPr>
      </w:pPr>
      <w:r w:rsidRPr="00482002">
        <w:rPr>
          <w:sz w:val="24"/>
          <w:szCs w:val="24"/>
        </w:rPr>
        <w:t>Vennlig hilsen</w:t>
      </w:r>
    </w:p>
    <w:p w14:paraId="58ABD846" w14:textId="77777777" w:rsidR="00012F80" w:rsidRPr="00482002" w:rsidRDefault="00012F80" w:rsidP="00C0409F">
      <w:pPr>
        <w:pStyle w:val="Ingenmellomrom"/>
        <w:rPr>
          <w:sz w:val="24"/>
          <w:szCs w:val="24"/>
        </w:rPr>
      </w:pPr>
      <w:r w:rsidRPr="00482002">
        <w:rPr>
          <w:sz w:val="24"/>
          <w:szCs w:val="24"/>
        </w:rPr>
        <w:t>for Norges kvinnelobby</w:t>
      </w:r>
    </w:p>
    <w:p w14:paraId="5394DB8E" w14:textId="77777777" w:rsidR="00012F80" w:rsidRPr="00482002" w:rsidRDefault="00012F80" w:rsidP="00C0409F">
      <w:pPr>
        <w:pStyle w:val="Ingenmellomrom"/>
        <w:rPr>
          <w:sz w:val="24"/>
          <w:szCs w:val="24"/>
        </w:rPr>
      </w:pPr>
    </w:p>
    <w:p w14:paraId="10B7C688" w14:textId="77777777" w:rsidR="00012F80" w:rsidRPr="00482002" w:rsidRDefault="00012F80" w:rsidP="00C0409F">
      <w:pPr>
        <w:pStyle w:val="Ingenmellomrom"/>
        <w:rPr>
          <w:sz w:val="24"/>
          <w:szCs w:val="24"/>
        </w:rPr>
      </w:pPr>
      <w:r w:rsidRPr="00482002">
        <w:rPr>
          <w:sz w:val="24"/>
          <w:szCs w:val="24"/>
        </w:rPr>
        <w:t>Bjørg Ofstad</w:t>
      </w:r>
    </w:p>
    <w:p w14:paraId="7548111E" w14:textId="77777777" w:rsidR="00012F80" w:rsidRPr="00482002" w:rsidRDefault="00012F80" w:rsidP="00C0409F">
      <w:pPr>
        <w:pStyle w:val="Ingenmellomrom"/>
        <w:rPr>
          <w:sz w:val="24"/>
          <w:szCs w:val="24"/>
        </w:rPr>
      </w:pPr>
      <w:r w:rsidRPr="00482002">
        <w:rPr>
          <w:sz w:val="24"/>
          <w:szCs w:val="24"/>
        </w:rPr>
        <w:t>styremedlem</w:t>
      </w:r>
    </w:p>
    <w:p w14:paraId="68C59133" w14:textId="77777777" w:rsidR="00012F80" w:rsidRDefault="00012F80" w:rsidP="00C0409F">
      <w:pPr>
        <w:pStyle w:val="Ingenmellomrom"/>
        <w:rPr>
          <w:sz w:val="28"/>
          <w:szCs w:val="28"/>
        </w:rPr>
      </w:pPr>
    </w:p>
    <w:p w14:paraId="7E60418B" w14:textId="77777777" w:rsidR="00012F80" w:rsidRDefault="006C0E44" w:rsidP="00C0409F">
      <w:pPr>
        <w:pStyle w:val="Ingenmellomrom"/>
        <w:rPr>
          <w:sz w:val="28"/>
          <w:szCs w:val="28"/>
        </w:rPr>
      </w:pPr>
      <w:hyperlink r:id="rId9" w:history="1">
        <w:r w:rsidR="00012F80" w:rsidRPr="00482002">
          <w:rPr>
            <w:rStyle w:val="Hyperkobling"/>
            <w:sz w:val="24"/>
            <w:szCs w:val="24"/>
          </w:rPr>
          <w:t>http://www.kvinnelobby.no/</w:t>
        </w:r>
      </w:hyperlink>
      <w:r w:rsidR="00012F80" w:rsidRPr="00482002">
        <w:rPr>
          <w:sz w:val="24"/>
          <w:szCs w:val="24"/>
        </w:rPr>
        <w:t xml:space="preserve"> </w:t>
      </w:r>
    </w:p>
    <w:p w14:paraId="4DBF608A" w14:textId="77777777" w:rsidR="00012F80" w:rsidRDefault="00012F80" w:rsidP="00C0409F">
      <w:pPr>
        <w:pStyle w:val="Ingenmellomrom"/>
        <w:rPr>
          <w:sz w:val="28"/>
          <w:szCs w:val="28"/>
        </w:rPr>
      </w:pPr>
    </w:p>
    <w:p w14:paraId="41E76F77" w14:textId="77777777" w:rsidR="00012F80" w:rsidRPr="00C918CE" w:rsidRDefault="00012F80" w:rsidP="00C0409F">
      <w:pPr>
        <w:pStyle w:val="Ingenmellomrom"/>
        <w:rPr>
          <w:sz w:val="28"/>
          <w:szCs w:val="28"/>
        </w:rPr>
      </w:pPr>
    </w:p>
    <w:sectPr w:rsidR="00012F80" w:rsidRPr="00C918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29A4" w14:textId="77777777" w:rsidR="006C0E44" w:rsidRDefault="006C0E44" w:rsidP="00893467">
      <w:pPr>
        <w:spacing w:after="0" w:line="240" w:lineRule="auto"/>
      </w:pPr>
      <w:r>
        <w:separator/>
      </w:r>
    </w:p>
  </w:endnote>
  <w:endnote w:type="continuationSeparator" w:id="0">
    <w:p w14:paraId="0E911466" w14:textId="77777777" w:rsidR="006C0E44" w:rsidRDefault="006C0E44" w:rsidP="0089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622936"/>
      <w:docPartObj>
        <w:docPartGallery w:val="Page Numbers (Bottom of Page)"/>
        <w:docPartUnique/>
      </w:docPartObj>
    </w:sdtPr>
    <w:sdtEndPr/>
    <w:sdtContent>
      <w:p w14:paraId="5E86A134" w14:textId="77777777" w:rsidR="00423679" w:rsidRDefault="00423679">
        <w:pPr>
          <w:pStyle w:val="Bunntekst"/>
          <w:jc w:val="right"/>
        </w:pPr>
        <w:r>
          <w:fldChar w:fldCharType="begin"/>
        </w:r>
        <w:r>
          <w:instrText>PAGE   \* MERGEFORMAT</w:instrText>
        </w:r>
        <w:r>
          <w:fldChar w:fldCharType="separate"/>
        </w:r>
        <w:r w:rsidR="00C8207B">
          <w:rPr>
            <w:noProof/>
          </w:rPr>
          <w:t>3</w:t>
        </w:r>
        <w:r>
          <w:fldChar w:fldCharType="end"/>
        </w:r>
      </w:p>
    </w:sdtContent>
  </w:sdt>
  <w:p w14:paraId="6DE33A01" w14:textId="77777777" w:rsidR="00423679" w:rsidRDefault="004236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0764C" w14:textId="77777777" w:rsidR="006C0E44" w:rsidRDefault="006C0E44" w:rsidP="00893467">
      <w:pPr>
        <w:spacing w:after="0" w:line="240" w:lineRule="auto"/>
      </w:pPr>
      <w:r>
        <w:separator/>
      </w:r>
    </w:p>
  </w:footnote>
  <w:footnote w:type="continuationSeparator" w:id="0">
    <w:p w14:paraId="1BDDFA58" w14:textId="77777777" w:rsidR="006C0E44" w:rsidRDefault="006C0E44" w:rsidP="00893467">
      <w:pPr>
        <w:spacing w:after="0" w:line="240" w:lineRule="auto"/>
      </w:pPr>
      <w:r>
        <w:continuationSeparator/>
      </w:r>
    </w:p>
  </w:footnote>
  <w:footnote w:id="1">
    <w:p w14:paraId="2BB33DB1" w14:textId="77777777" w:rsidR="00893467" w:rsidRDefault="00893467" w:rsidP="00893467">
      <w:pPr>
        <w:pStyle w:val="Fotnotetekst"/>
      </w:pPr>
      <w:r>
        <w:rPr>
          <w:rStyle w:val="Fotnotereferanse"/>
        </w:rPr>
        <w:footnoteRef/>
      </w:r>
      <w:r>
        <w:t xml:space="preserve"> Disse finnes samlet på </w:t>
      </w:r>
      <w:r w:rsidRPr="00CC60FC">
        <w:t>http://www.un.org/womenwatch/daw/cedaw/</w:t>
      </w:r>
      <w:r>
        <w:t xml:space="preserve">  under faneteksten General </w:t>
      </w:r>
      <w:proofErr w:type="spellStart"/>
      <w:r>
        <w:t>Recommendations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09F"/>
    <w:rsid w:val="00012F80"/>
    <w:rsid w:val="000254EA"/>
    <w:rsid w:val="000F51D4"/>
    <w:rsid w:val="0019750A"/>
    <w:rsid w:val="00270C4D"/>
    <w:rsid w:val="00423679"/>
    <w:rsid w:val="00482002"/>
    <w:rsid w:val="004C3D54"/>
    <w:rsid w:val="00536A61"/>
    <w:rsid w:val="006C0E44"/>
    <w:rsid w:val="006E4ACE"/>
    <w:rsid w:val="007455CF"/>
    <w:rsid w:val="007F2A93"/>
    <w:rsid w:val="00893467"/>
    <w:rsid w:val="009E6E25"/>
    <w:rsid w:val="00C0409F"/>
    <w:rsid w:val="00C6594B"/>
    <w:rsid w:val="00C8207B"/>
    <w:rsid w:val="00C918CE"/>
    <w:rsid w:val="00D057A4"/>
    <w:rsid w:val="00E76399"/>
    <w:rsid w:val="00ED0049"/>
    <w:rsid w:val="00F730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244A"/>
  <w15:docId w15:val="{BB587886-BE3E-4139-A1A2-954D0D16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C0409F"/>
    <w:pPr>
      <w:spacing w:after="0" w:line="240" w:lineRule="auto"/>
    </w:pPr>
  </w:style>
  <w:style w:type="paragraph" w:styleId="Bobletekst">
    <w:name w:val="Balloon Text"/>
    <w:basedOn w:val="Normal"/>
    <w:link w:val="BobletekstTegn"/>
    <w:uiPriority w:val="99"/>
    <w:semiHidden/>
    <w:unhideWhenUsed/>
    <w:rsid w:val="00D057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057A4"/>
    <w:rPr>
      <w:rFonts w:ascii="Tahoma" w:hAnsi="Tahoma" w:cs="Tahoma"/>
      <w:sz w:val="16"/>
      <w:szCs w:val="16"/>
    </w:rPr>
  </w:style>
  <w:style w:type="character" w:styleId="Hyperkobling">
    <w:name w:val="Hyperlink"/>
    <w:basedOn w:val="Standardskriftforavsnitt"/>
    <w:uiPriority w:val="99"/>
    <w:unhideWhenUsed/>
    <w:rsid w:val="00012F80"/>
    <w:rPr>
      <w:color w:val="0563C1" w:themeColor="hyperlink"/>
      <w:u w:val="single"/>
    </w:rPr>
  </w:style>
  <w:style w:type="paragraph" w:styleId="Fotnotetekst">
    <w:name w:val="footnote text"/>
    <w:basedOn w:val="Normal"/>
    <w:link w:val="FotnotetekstTegn"/>
    <w:uiPriority w:val="99"/>
    <w:semiHidden/>
    <w:unhideWhenUsed/>
    <w:rsid w:val="0089346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93467"/>
    <w:rPr>
      <w:sz w:val="20"/>
      <w:szCs w:val="20"/>
    </w:rPr>
  </w:style>
  <w:style w:type="character" w:styleId="Fotnotereferanse">
    <w:name w:val="footnote reference"/>
    <w:basedOn w:val="Standardskriftforavsnitt"/>
    <w:uiPriority w:val="99"/>
    <w:semiHidden/>
    <w:unhideWhenUsed/>
    <w:rsid w:val="00893467"/>
    <w:rPr>
      <w:vertAlign w:val="superscript"/>
    </w:rPr>
  </w:style>
  <w:style w:type="paragraph" w:styleId="Topptekst">
    <w:name w:val="header"/>
    <w:basedOn w:val="Normal"/>
    <w:link w:val="TopptekstTegn"/>
    <w:uiPriority w:val="99"/>
    <w:unhideWhenUsed/>
    <w:rsid w:val="004236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23679"/>
  </w:style>
  <w:style w:type="paragraph" w:styleId="Bunntekst">
    <w:name w:val="footer"/>
    <w:basedOn w:val="Normal"/>
    <w:link w:val="BunntekstTegn"/>
    <w:uiPriority w:val="99"/>
    <w:unhideWhenUsed/>
    <w:rsid w:val="004236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2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ruzelius@jus.uio.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vinnelobby.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A176C-05AD-4B66-A286-68F3D92E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1130</Words>
  <Characters>5991</Characters>
  <Application>Microsoft Office Word</Application>
  <DocSecurity>0</DocSecurity>
  <Lines>49</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Maria Bruzelius</dc:creator>
  <cp:lastModifiedBy>Bjørg Ofstad</cp:lastModifiedBy>
  <cp:revision>6</cp:revision>
  <dcterms:created xsi:type="dcterms:W3CDTF">2018-03-23T09:54:00Z</dcterms:created>
  <dcterms:modified xsi:type="dcterms:W3CDTF">2019-10-07T18:55:00Z</dcterms:modified>
</cp:coreProperties>
</file>